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</w:t>
      </w:r>
      <w:r w:rsidR="00925C5F">
        <w:rPr>
          <w:rFonts w:ascii="Times New Roman" w:hAnsi="Times New Roman"/>
          <w:b/>
          <w:lang w:val="en-US"/>
        </w:rPr>
        <w:t>1</w:t>
      </w:r>
      <w:r w:rsidR="00627BE5" w:rsidRPr="003C287C">
        <w:rPr>
          <w:rFonts w:ascii="Times New Roman" w:hAnsi="Times New Roman"/>
          <w:b/>
        </w:rPr>
        <w:t>-202</w:t>
      </w:r>
      <w:r w:rsidR="00925C5F">
        <w:rPr>
          <w:rFonts w:ascii="Times New Roman" w:hAnsi="Times New Roman"/>
          <w:b/>
          <w:lang w:val="en-US"/>
        </w:rPr>
        <w:t>2</w:t>
      </w:r>
      <w:r w:rsidR="00627BE5" w:rsidRPr="003C287C">
        <w:rPr>
          <w:rFonts w:ascii="Times New Roman" w:hAnsi="Times New Roman"/>
          <w:b/>
        </w:rPr>
        <w:t xml:space="preserve"> </w:t>
      </w:r>
      <w:r w:rsidR="00925C5F">
        <w:rPr>
          <w:rFonts w:ascii="Times New Roman" w:hAnsi="Times New Roman"/>
          <w:b/>
          <w:lang w:val="kk-KZ"/>
        </w:rPr>
        <w:t>оқу жылы</w:t>
      </w:r>
    </w:p>
    <w:p w:rsidR="00925C5F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</w:t>
      </w:r>
      <w:r w:rsidR="00E0565B">
        <w:rPr>
          <w:rFonts w:ascii="Times New Roman" w:hAnsi="Times New Roman"/>
          <w:b/>
          <w:lang w:val="kk-KZ"/>
        </w:rPr>
        <w:t>тану негіздері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E0565B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2B767B" w:rsidRDefault="002B767B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767B">
              <w:rPr>
                <w:b/>
                <w:iCs/>
                <w:sz w:val="28"/>
                <w:szCs w:val="28"/>
              </w:rPr>
              <w:t>8D02204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E0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</w:t>
            </w:r>
            <w:r w:rsidR="00E0565B">
              <w:rPr>
                <w:rFonts w:ascii="Times New Roman" w:hAnsi="Times New Roman"/>
                <w:lang w:val="kk-KZ"/>
              </w:rPr>
              <w:t>тану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925C5F">
            <w:pPr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</w:t>
            </w:r>
            <w:r w:rsidR="00925C5F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3C287C">
              <w:rPr>
                <w:rFonts w:asciiTheme="majorBidi" w:hAnsiTheme="majorBidi" w:cstheme="majorBidi"/>
              </w:rPr>
              <w:t>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r w:rsidR="00925C5F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3C287C">
              <w:rPr>
                <w:rFonts w:asciiTheme="majorBidi" w:hAnsiTheme="majorBidi" w:cstheme="majorBidi"/>
              </w:rPr>
              <w:t>дайберд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ұлы</w:t>
            </w:r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778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57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E0565B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E0565B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3C287C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3C287C" w:rsidRPr="00E0565B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E0565B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E0565B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136050" w:rsidP="00136050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Құрандағы құқық негіздері, Исламдық дереккөздерді интерпретациялау әдістері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</w:t>
            </w:r>
            <w:r w:rsidR="00E0565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ғ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="00136050" w:rsidRPr="0005425A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en-US"/>
                </w:rPr>
                <w:t>kz</w:t>
              </w:r>
            </w:hyperlink>
          </w:p>
          <w:p w:rsidR="003C287C" w:rsidRPr="003C287C" w:rsidRDefault="002B767B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1A40BB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hyperlink w:history="1">
              <w:r w:rsidRPr="0005425A">
                <w:rPr>
                  <w:rStyle w:val="a6"/>
                  <w:rFonts w:asciiTheme="majorBidi" w:hAnsiTheme="majorBidi" w:cstheme="majorBidi"/>
                </w:rPr>
                <w:t>http://www.</w:t>
              </w:r>
              <w:r w:rsidRPr="0005425A">
                <w:rPr>
                  <w:rStyle w:val="a6"/>
                  <w:rFonts w:asciiTheme="majorBidi" w:hAnsiTheme="majorBidi" w:cstheme="majorBidi"/>
                  <w:lang w:val="en-US"/>
                </w:rPr>
                <w:t>dinalmobl</w:t>
              </w:r>
              <w:r w:rsidRPr="0005425A">
                <w:rPr>
                  <w:rStyle w:val="a6"/>
                  <w:rFonts w:asciiTheme="majorBidi" w:hAnsiTheme="majorBidi" w:cstheme="majorBidi"/>
                </w:rPr>
                <w:t>.</w:t>
              </w:r>
              <w:r w:rsidRPr="0005425A">
                <w:rPr>
                  <w:rStyle w:val="a6"/>
                  <w:rFonts w:asciiTheme="majorBidi" w:hAnsiTheme="majorBidi" w:cstheme="majorBidi"/>
                  <w:lang w:val="en-US"/>
                </w:rPr>
                <w:t xml:space="preserve">kz 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8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Университеттікморальдық-этикалық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1B4C21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шектеулі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студенттер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hyperlink r:id="rId10" w:history="1"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kudaiberdi</w:t>
              </w:r>
              <w:r w:rsidR="001B4C21" w:rsidRPr="0005425A">
                <w:rPr>
                  <w:rStyle w:val="a6"/>
                  <w:rFonts w:asciiTheme="majorBidi" w:hAnsiTheme="majorBidi" w:cstheme="majorBidi"/>
                </w:rPr>
                <w:t>1981@</w:t>
              </w:r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gmail</w:t>
              </w:r>
              <w:r w:rsidR="001B4C21" w:rsidRPr="0005425A">
                <w:rPr>
                  <w:rStyle w:val="a6"/>
                  <w:rFonts w:asciiTheme="majorBidi" w:hAnsiTheme="majorBidi" w:cstheme="majorBidi"/>
                </w:rPr>
                <w:t>.</w:t>
              </w:r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com</w:t>
              </w:r>
            </w:hyperlink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</w:t>
            </w:r>
            <w:proofErr w:type="spellEnd"/>
            <w:r w:rsidR="00C1544C" w:rsidRPr="00C1544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консультациялық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сәйкес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оқыту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нәтижелерін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құзыреттіліктің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қалыптасуын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E0565B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5632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925C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E0565B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да вебинар</w:t>
            </w:r>
          </w:p>
        </w:tc>
      </w:tr>
      <w:tr w:rsidR="000831E4" w:rsidRPr="00E0565B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E0565B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E0565B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E0565B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/да вебинар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7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563230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5FE0"/>
    <w:rsid w:val="00136050"/>
    <w:rsid w:val="00184AD0"/>
    <w:rsid w:val="001A40BB"/>
    <w:rsid w:val="001B4C21"/>
    <w:rsid w:val="001C7967"/>
    <w:rsid w:val="001E2C5E"/>
    <w:rsid w:val="00296056"/>
    <w:rsid w:val="002A067C"/>
    <w:rsid w:val="002B767B"/>
    <w:rsid w:val="002D05E4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3230"/>
    <w:rsid w:val="0056688B"/>
    <w:rsid w:val="00592DE1"/>
    <w:rsid w:val="005A584B"/>
    <w:rsid w:val="005D5D70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25C5F"/>
    <w:rsid w:val="009918D2"/>
    <w:rsid w:val="00A00D55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1544C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0565B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kz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11054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</cp:revision>
  <dcterms:created xsi:type="dcterms:W3CDTF">2021-09-19T05:00:00Z</dcterms:created>
  <dcterms:modified xsi:type="dcterms:W3CDTF">2021-09-19T05:05:00Z</dcterms:modified>
</cp:coreProperties>
</file>